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DB2A" w14:textId="77777777" w:rsidR="00FA24A2" w:rsidRPr="00721E1E" w:rsidRDefault="00FA24A2" w:rsidP="00FA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BC8412" w14:textId="77777777" w:rsidR="00FA24A2" w:rsidRPr="00721E1E" w:rsidRDefault="00FA24A2" w:rsidP="00FA24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721E1E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A2367A7" w14:textId="77777777" w:rsidR="00FA24A2" w:rsidRPr="00721E1E" w:rsidRDefault="00FA24A2" w:rsidP="00FA24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E1E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E1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721E1E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E1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21E1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B4C5C97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88EE7C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31FEE3" w14:textId="77777777" w:rsidR="00FA24A2" w:rsidRPr="00FA24A2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C0C1D69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7D121E9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D0E962C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A40E78" w14:textId="77777777" w:rsidR="00FA24A2" w:rsidRPr="00721E1E" w:rsidRDefault="00FA24A2" w:rsidP="00FA24A2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7CBEE6E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586CDD3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3F92E5A7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18114E2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00AD414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A76E306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DF047BA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721E1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15FC8FA7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721E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AGU   6307  </w:t>
      </w:r>
      <w:r w:rsidRPr="00721E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"</w:t>
      </w:r>
      <w:r w:rsidRPr="00721E1E">
        <w:rPr>
          <w:rFonts w:ascii="Times New Roman" w:eastAsia="Times New Roman" w:hAnsi="Times New Roman" w:cs="Times New Roman"/>
          <w:sz w:val="28"/>
          <w:szCs w:val="28"/>
          <w:lang w:val="kk-KZ"/>
        </w:rPr>
        <w:t>Дағдарысқа қарсы мемлекеттік басқару"</w:t>
      </w:r>
      <w:r w:rsidRPr="00721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пәні бойынша</w:t>
      </w:r>
    </w:p>
    <w:p w14:paraId="7B7313E9" w14:textId="77777777" w:rsidR="00FA24A2" w:rsidRPr="00721E1E" w:rsidRDefault="00FA24A2" w:rsidP="00FA24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721E1E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7М04104-"Мемлекеттік және жергілікті басқару" білім беру бағдарламасы</w:t>
      </w:r>
    </w:p>
    <w:p w14:paraId="08CFD812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A0D8EC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AE99EB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53B172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CB63E5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4C3F6DF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E2A912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7CEC22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7BB0F7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40BAAF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46CC4C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18820E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425C6F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E0BFDA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2CEA81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D4EAD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300755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62278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B5203A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A20140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16C63A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BF479B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2AE969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F4954C1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57ACE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851310" w14:textId="77777777" w:rsidR="00FA24A2" w:rsidRPr="00721E1E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395209" w14:textId="77777777" w:rsidR="00FA24A2" w:rsidRPr="00721E1E" w:rsidRDefault="00FA24A2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90CFB9C" w14:textId="77777777" w:rsidR="00FA24A2" w:rsidRPr="00721E1E" w:rsidRDefault="00FA24A2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21D6F6E" w14:textId="77777777" w:rsidR="00FA24A2" w:rsidRPr="00721E1E" w:rsidRDefault="00FA24A2" w:rsidP="00FA24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FA24A2" w:rsidRPr="00721E1E" w:rsidSect="00FA24A2">
          <w:pgSz w:w="11906" w:h="16838"/>
          <w:pgMar w:top="1129" w:right="850" w:bottom="1134" w:left="1701" w:header="0" w:footer="0" w:gutter="0"/>
          <w:cols w:space="708"/>
        </w:sectPr>
      </w:pPr>
      <w:r w:rsidRPr="00721E1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721E1E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721E1E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721E1E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721E1E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721E1E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721E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721E1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21E1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721E1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E48AE0C" w14:textId="77777777" w:rsidR="00FA24A2" w:rsidRPr="00721E1E" w:rsidRDefault="00FA24A2" w:rsidP="00FA24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549C917" w14:textId="77777777" w:rsidR="00FA24A2" w:rsidRPr="00721E1E" w:rsidRDefault="00FA24A2" w:rsidP="00FA24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AB4632D" w14:textId="77777777" w:rsidR="00FA24A2" w:rsidRPr="00721E1E" w:rsidRDefault="00FA24A2" w:rsidP="00FA24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54D9DCC" w14:textId="77777777" w:rsidR="00FA24A2" w:rsidRPr="00721E1E" w:rsidRDefault="00FA24A2" w:rsidP="00FA24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DAB7CE5" w14:textId="77777777" w:rsidR="00FA24A2" w:rsidRPr="00252E00" w:rsidRDefault="00FA24A2" w:rsidP="00FA24A2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252E00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lastRenderedPageBreak/>
        <w:t>Қ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ұ</w:t>
      </w:r>
      <w:r w:rsidRPr="00252E00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pacing w:val="3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pacing w:val="1"/>
          <w:w w:val="112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у</w:t>
      </w:r>
      <w:r w:rsidRPr="00252E00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252E00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э.ғ.д.А</w:t>
      </w:r>
      <w:r w:rsidRPr="00252E00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252E00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и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w w:val="114"/>
          <w:sz w:val="20"/>
          <w:szCs w:val="20"/>
          <w:lang w:val="kk-KZ"/>
        </w:rPr>
        <w:t>в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О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.А. </w:t>
      </w:r>
      <w:r w:rsidRPr="00252E0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106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pacing w:val="5"/>
          <w:w w:val="105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8"/>
          <w:w w:val="112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к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афед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ас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  проф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ес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оры</w:t>
      </w:r>
    </w:p>
    <w:p w14:paraId="56E3123D" w14:textId="77777777" w:rsidR="00FA24A2" w:rsidRPr="00252E00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03F9F13" w14:textId="77777777" w:rsidR="00FA24A2" w:rsidRPr="00252E00" w:rsidRDefault="00FA24A2" w:rsidP="00FA24A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3C691D8" w14:textId="77777777" w:rsidR="00FA24A2" w:rsidRPr="00252E00" w:rsidRDefault="00FA24A2" w:rsidP="00FA24A2">
      <w:pPr>
        <w:spacing w:after="11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3D5BB32" w14:textId="77777777" w:rsidR="00FA24A2" w:rsidRPr="00252E00" w:rsidRDefault="00FA24A2" w:rsidP="00FA24A2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"</w:t>
      </w:r>
      <w:r w:rsidRPr="00252E00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Дағдарысқа қарсы мемлекеттік басқару"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пәні</w:t>
      </w:r>
      <w:r w:rsidRPr="00252E00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бой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ша</w:t>
      </w:r>
      <w:r w:rsidRPr="00252E00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оры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нд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их</w:t>
      </w:r>
      <w:r w:rsidRPr="00252E0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ү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ргі</w:t>
      </w:r>
      <w:r w:rsidRPr="00252E0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kk-KZ"/>
        </w:rPr>
        <w:t>з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у бағда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ы 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 ә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ст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ік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ыс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тары</w:t>
      </w:r>
      <w:r w:rsidRPr="00252E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к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афедра 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іл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ра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ып,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лды</w:t>
      </w:r>
    </w:p>
    <w:p w14:paraId="697B620D" w14:textId="77777777" w:rsidR="00FA24A2" w:rsidRPr="00252E00" w:rsidRDefault="00FA24A2" w:rsidP="00FA24A2">
      <w:pPr>
        <w:spacing w:after="36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1A0DD5B" w14:textId="77777777" w:rsidR="00FA24A2" w:rsidRDefault="00FA24A2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  <w:r w:rsidRPr="00252E0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22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"      10  </w:t>
      </w:r>
      <w:r w:rsidRPr="00252E00">
        <w:rPr>
          <w:rFonts w:ascii="Times New Roman" w:eastAsia="Times New Roman" w:hAnsi="Times New Roman" w:cs="Times New Roman"/>
          <w:color w:val="000000"/>
          <w:spacing w:val="118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2025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ж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.,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х</w:t>
      </w:r>
      <w:r w:rsidRPr="00252E00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252E00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№5</w:t>
      </w:r>
    </w:p>
    <w:p w14:paraId="33D18A8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71943C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61FE8E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99EB6A4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C9BBA0F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7646835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C1EEB4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C3FF24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3141D57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3C4139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D32022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64D6F5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7B74F88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802D164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143B3A5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C713BB3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5C6DFE26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DED1000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23AB27F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23743D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CA6AB14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89FE6F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9FAE0C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A1B31A3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991AC0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CF0ADAE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5A065E6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83AFEDE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987DCF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0D1E088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5A5325BB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7009C3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2A22D00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52C4454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82C17E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1E8DFE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5781341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BA352F6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5E05EE9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1AD1070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F5225D8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BD94883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A128C16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CC00742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41CA3B6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15F30C0E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41ABCBC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549D9DC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B72939A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0698BD1E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31079F9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CCAB38E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75D64DD8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64949FF5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2E374DE3" w14:textId="77777777" w:rsid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</w:pPr>
    </w:p>
    <w:p w14:paraId="3F4A4286" w14:textId="77777777" w:rsidR="00252E00" w:rsidRPr="00252E00" w:rsidRDefault="00252E00" w:rsidP="00252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Кіріспе</w:t>
      </w:r>
    </w:p>
    <w:p w14:paraId="1EE6D39E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8510C13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Дағдарысқа қарсы мемлекеттік басқару" </w:t>
      </w:r>
      <w:r w:rsidRPr="00252E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>7М04104-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252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252E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білім беру бағдарламасының оқу жоспары бойынша  бейіндік пәндерге жатады.</w:t>
      </w:r>
    </w:p>
    <w:p w14:paraId="7848E6CD" w14:textId="77777777" w:rsidR="00252E00" w:rsidRPr="00252E00" w:rsidRDefault="00252E00" w:rsidP="00252E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      Пәннің мақсаты: магистранттарға</w:t>
      </w:r>
      <w:r w:rsidRPr="00252E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мемлекеттік органдарындағы 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дағдарысқа қарсы мемлекеттік басқару</w:t>
      </w:r>
      <w:r w:rsidRPr="00252E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FCB45A1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Дағдарысқа қарсы мемлекеттік басқару"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252E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бойынша емтихан тапсыру күндізгі  бөлім  магистранттары үшін  7М04104-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252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білім беру бағдарламасы бойынша </w:t>
      </w:r>
      <w:r w:rsidRPr="00252E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252E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252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252E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>. Емтихан ауызша. Офлайн форматта өткізіледі.</w:t>
      </w:r>
    </w:p>
    <w:p w14:paraId="543AEE67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Жин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252E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252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252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252E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252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252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252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252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252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252E0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252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252E0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ауызша дәстүрлі </w:t>
      </w:r>
      <w:r w:rsidRPr="00252E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офлайн өткізіледі</w:t>
      </w:r>
    </w:p>
    <w:p w14:paraId="73D8D91B" w14:textId="77777777" w:rsidR="00252E00" w:rsidRPr="00252E00" w:rsidRDefault="00252E00" w:rsidP="00252E00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52E0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Билеттің барлық сұрақтарына жауап беруге ұсынылған уақыт -15-20 минут</w:t>
      </w:r>
    </w:p>
    <w:p w14:paraId="610DCC07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6959260C" w14:textId="77777777" w:rsidR="00252E00" w:rsidRPr="00BB5F8B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</w:p>
    <w:p w14:paraId="1C157DB8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BB5F8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252E0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Емтиханды тапсыру кезінде магистрантьтар қабілетті  болуы керек: </w:t>
      </w:r>
    </w:p>
    <w:p w14:paraId="7F84A9C5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F71F809" w14:textId="77777777" w:rsidR="00252E00" w:rsidRPr="00252E00" w:rsidRDefault="00252E00" w:rsidP="00252E00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ko-KR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kk-KZ"/>
          <w14:ligatures w14:val="standardContextual"/>
        </w:rPr>
        <w:t>дағдарысты мемлекетттік басқарудың  негіздері мен тәсілдері</w:t>
      </w:r>
      <w:r w:rsidRPr="00252E00">
        <w:rPr>
          <w:rFonts w:ascii="Times New Roman" w:eastAsia="Calibri" w:hAnsi="Times New Roman" w:cs="Times New Roman"/>
          <w:kern w:val="2"/>
          <w:sz w:val="24"/>
          <w:szCs w:val="24"/>
          <w:lang w:val="kk-KZ" w:eastAsia="ko-KR"/>
          <w14:ligatures w14:val="standardContextual"/>
        </w:rPr>
        <w:t>;</w:t>
      </w:r>
    </w:p>
    <w:p w14:paraId="72452258" w14:textId="77777777" w:rsidR="00252E00" w:rsidRPr="00252E00" w:rsidRDefault="00252E00" w:rsidP="00252E00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ko-KR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  <w14:ligatures w14:val="standardContextual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ko-KR"/>
          <w14:ligatures w14:val="standardContextual"/>
        </w:rPr>
        <w:t>;</w:t>
      </w:r>
    </w:p>
    <w:p w14:paraId="61438932" w14:textId="77777777" w:rsidR="00252E00" w:rsidRPr="00252E00" w:rsidRDefault="00252E00" w:rsidP="00252E00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  <w14:ligatures w14:val="standardContextual"/>
        </w:rPr>
        <w:t>дағдарысқа қарсы мемлекеттік басқару технологияларын иерархиялық деңгейде қолдану</w:t>
      </w: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ko-KR"/>
          <w14:ligatures w14:val="standardContextual"/>
        </w:rPr>
        <w:t>;</w:t>
      </w:r>
    </w:p>
    <w:p w14:paraId="76F32D7C" w14:textId="77777777" w:rsidR="00252E00" w:rsidRPr="00252E00" w:rsidRDefault="00252E00" w:rsidP="00252E00">
      <w:pPr>
        <w:widowControl w:val="0"/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kk-KZ" w:eastAsia="ko-KR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 w:eastAsia="ko-KR"/>
          <w14:ligatures w14:val="standardContextual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6A24E495" w14:textId="77777777" w:rsidR="00252E00" w:rsidRPr="00252E00" w:rsidRDefault="00252E00" w:rsidP="00252E00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  <w14:ligatures w14:val="standardContextual"/>
        </w:rPr>
        <w:t>дағдарысқа қарсы мемлекеттік басқару тиімділігін арттыру жөніндегі шаралар жүйесін негіздеу.</w:t>
      </w:r>
    </w:p>
    <w:p w14:paraId="24620FC2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10340F8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  <w:lang w:val="kk-KZ"/>
        </w:rPr>
        <w:t>Емтихан сұратары құрастырылатын тақырыптар:</w:t>
      </w:r>
    </w:p>
    <w:p w14:paraId="54E04C79" w14:textId="77777777" w:rsidR="00252E00" w:rsidRPr="00252E00" w:rsidRDefault="00252E00" w:rsidP="00252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BE2AAC1" w14:textId="77777777" w:rsidR="00252E00" w:rsidRPr="00252E00" w:rsidRDefault="00252E00" w:rsidP="0025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1.Тақырып, Мемлекеттік дағдарысқа қарсы басқару жүйесінің ғылыми негіздері</w:t>
      </w:r>
    </w:p>
    <w:p w14:paraId="01BD7E11" w14:textId="77777777" w:rsidR="00252E00" w:rsidRPr="00252E00" w:rsidRDefault="00252E00" w:rsidP="0025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5D99FE62" w14:textId="77777777" w:rsidR="00252E00" w:rsidRPr="00252E00" w:rsidRDefault="00252E00" w:rsidP="0025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 Тақырып. Мемлекеттік  басқару жүйесіндегі дағдарыс</w:t>
      </w:r>
    </w:p>
    <w:p w14:paraId="77C0D5E2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  Тақырып.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ағдарысқа қарсы басқару жүйесі   және механизмдері</w:t>
      </w:r>
    </w:p>
    <w:p w14:paraId="3BDA3F9B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5.</w:t>
      </w:r>
      <w:r w:rsidRPr="00252E00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3EC6E491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6.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6F3B5E8C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7.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53A712D3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8. Тақырып. Мемлекеттік дағдарысқа қарсы басқарудағы тәуекел</w:t>
      </w:r>
    </w:p>
    <w:p w14:paraId="4B8A0D21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9. Тақырып. Мемлекетттік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ағдарысқа қарсы басқарудың технологиялары</w:t>
      </w:r>
    </w:p>
    <w:p w14:paraId="0A269B16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10.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Тақырып.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ағдарысқа қарсы кадрлық саясат</w:t>
      </w:r>
    </w:p>
    <w:p w14:paraId="06184448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11.Тақырып. </w:t>
      </w:r>
      <w:r w:rsidRPr="00252E00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 Мемлекеттік 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дағдарысқа қарсы инвестициялық саясат</w:t>
      </w:r>
    </w:p>
    <w:p w14:paraId="6C0034DA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12. Тақырып.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дағдарысқа қарсы басқарудың инновациялық факторы</w:t>
      </w:r>
    </w:p>
    <w:p w14:paraId="5EF87FF6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13.Тақырып.  Мемлекеттік дағдарысқа қарсы басқарудағы әлеуметттік әріптестік</w:t>
      </w:r>
    </w:p>
    <w:p w14:paraId="7E51E870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14.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274F1C5B" w14:textId="77777777" w:rsidR="00252E00" w:rsidRPr="00252E00" w:rsidRDefault="00252E00" w:rsidP="00252E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15.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20FF98B7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8926D2A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4729F13" w14:textId="77777777" w:rsidR="00252E00" w:rsidRP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"Дағдарысқа қарсы мемлекеттік басқару"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52E00"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  <w:lang w:val="kk-KZ"/>
        </w:rPr>
        <w:t>пәні бойынша емтиханның бағдарламалық сұрақтары:</w:t>
      </w:r>
    </w:p>
    <w:p w14:paraId="6C4D8C4B" w14:textId="77777777" w:rsidR="00252E00" w:rsidRPr="00252E00" w:rsidRDefault="00252E00" w:rsidP="00252E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60C04C4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Мемлекеттік басқару және дағдарыс</w:t>
      </w:r>
    </w:p>
    <w:p w14:paraId="461FC638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 кезеңдері</w:t>
      </w:r>
    </w:p>
    <w:p w14:paraId="4C04254A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Дағдарыстың түрлері</w:t>
      </w:r>
    </w:p>
    <w:p w14:paraId="561764A5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 қарсы тәуекел</w:t>
      </w:r>
    </w:p>
    <w:p w14:paraId="5A7CE2D5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Дағадарысқа бәсеңдетудің мүмкіндіктері</w:t>
      </w:r>
    </w:p>
    <w:p w14:paraId="0416FDDE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Дағдарыстың түрлері</w:t>
      </w:r>
    </w:p>
    <w:p w14:paraId="0115E420" w14:textId="77777777" w:rsidR="00252E00" w:rsidRPr="00252E00" w:rsidRDefault="00252E00" w:rsidP="00252E00">
      <w:pPr>
        <w:numPr>
          <w:ilvl w:val="0"/>
          <w:numId w:val="2"/>
        </w:numPr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eastAsia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Дағдарысқа қарсы стратегиялық жоспарлау</w:t>
      </w:r>
    </w:p>
    <w:p w14:paraId="3FDD5520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8. Мемлекеттік дағдарысқа қарсы басқару жүйесінің ғылыми негіздері</w:t>
      </w:r>
    </w:p>
    <w:p w14:paraId="29177AA1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9. Макро және микродеңгейдегі дағдарыс типтерін анықтаудың  ғылыми тәсілдері</w:t>
      </w:r>
    </w:p>
    <w:p w14:paraId="04C834CE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10.  Мемлекеттік  басқару жүйесіндегі дағдарыс</w:t>
      </w:r>
    </w:p>
    <w:p w14:paraId="0F9E6CCD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11.  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ағдарысқа қарсы басқару жүйесі   және механизмдері</w:t>
      </w:r>
    </w:p>
    <w:p w14:paraId="4BC09D29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12.</w:t>
      </w:r>
      <w:r w:rsidRPr="00252E00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3759F993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13.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Дағдарысқа қарсы басқарудағы стратегия  және оның маңызы</w:t>
      </w:r>
    </w:p>
    <w:p w14:paraId="11C8416A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14.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4A823E26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15. Мемлекеттік дағдарысқа қарсы басқарудағы тәуекел</w:t>
      </w:r>
    </w:p>
    <w:p w14:paraId="01970BF4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16. Мемлекетттік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ағдарысқа қарсы басқарудың технологиялары</w:t>
      </w:r>
    </w:p>
    <w:p w14:paraId="1AB24272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17.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Д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ағдарысқа қарсы кадрлық саясат</w:t>
      </w:r>
    </w:p>
    <w:p w14:paraId="43ABC8BC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18. </w:t>
      </w:r>
      <w:r w:rsidRPr="00252E00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Мемлекеттік 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дағдарысқа қарсы инвестициялық саясат</w:t>
      </w:r>
    </w:p>
    <w:p w14:paraId="3040B7EA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19.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дағдарысқа қарсы басқарудың инновациялық факторы</w:t>
      </w:r>
    </w:p>
    <w:p w14:paraId="3DDC6579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20. Мемлекеттік дағдарысқа қарсы басқарудағы әлеуметттік әріптестік</w:t>
      </w:r>
    </w:p>
    <w:p w14:paraId="4B2DA826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21.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Дағдарысқа қарсы басқару тиімділігіне ақпараттанудың  әсері</w:t>
      </w:r>
    </w:p>
    <w:p w14:paraId="3198A7CD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22.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Қазақстанда  дағдарыс жағдайын мемлекетттік реттеу тиімділігін арттыру</w:t>
      </w:r>
    </w:p>
    <w:p w14:paraId="486A2FD3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23.  Ұлттық экономика салаларындағы </w:t>
      </w:r>
      <w:r w:rsidRPr="00252E00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к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оммерциялық тәуекелдер</w:t>
      </w:r>
    </w:p>
    <w:p w14:paraId="2CB98F04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24. Ұлттық экономика салаларындағы қаржылық   тәуекелдер</w:t>
      </w:r>
    </w:p>
    <w:p w14:paraId="65B04C5D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25. Ұлттық экономика салаларындағы өндірістік тәуекелдер </w:t>
      </w:r>
    </w:p>
    <w:p w14:paraId="376E89AA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 26. Дағдарыс кезеңінде қаржылай сауықтырудың қағидалары </w:t>
      </w:r>
    </w:p>
    <w:p w14:paraId="26A41E98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27. Дағдарысқа қарсы басқаруды бағалау </w:t>
      </w:r>
    </w:p>
    <w:p w14:paraId="01366CE9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28. Дағдарысқа қарсы басқарудың ерекшеліктері </w:t>
      </w:r>
    </w:p>
    <w:p w14:paraId="1FFCE942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29. Дағдарыс жағдайында персоналды басқару </w:t>
      </w:r>
    </w:p>
    <w:p w14:paraId="448D4ED0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30. Ұйымдарды персоналды басқарудың әдістері </w:t>
      </w:r>
    </w:p>
    <w:p w14:paraId="7C154BA0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31. Дағдарыс менеджментіндегі стратегиялық инвестиция </w:t>
      </w:r>
    </w:p>
    <w:p w14:paraId="58033B59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>32. Дағдарыс стратегиясының экономикалық тиімділігі</w:t>
      </w:r>
    </w:p>
    <w:p w14:paraId="0F08B9D9" w14:textId="77777777" w:rsidR="00252E00" w:rsidRPr="00252E00" w:rsidRDefault="00252E00" w:rsidP="00252E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</w:pPr>
      <w:r w:rsidRPr="00252E00">
        <w:rPr>
          <w:rFonts w:ascii="Times New Roman" w:hAnsi="Times New Roman" w:cs="Times New Roman"/>
          <w:color w:val="000000"/>
          <w:sz w:val="24"/>
          <w:szCs w:val="24"/>
          <w:lang w:val="kk-KZ"/>
          <w14:ligatures w14:val="standardContextual"/>
        </w:rPr>
        <w:t xml:space="preserve">33. Дағдарыс менеджменті тиімділігін жетілдірудің бағыттары </w:t>
      </w:r>
    </w:p>
    <w:p w14:paraId="5CCE7E9D" w14:textId="77777777" w:rsidR="00252E00" w:rsidRPr="00252E00" w:rsidRDefault="00252E00" w:rsidP="00252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34. Мемлекеттік басқарудағы инновациялық технологиялар</w:t>
      </w:r>
    </w:p>
    <w:p w14:paraId="78DC437E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35. Мемлекеттік 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дағдарысқа қарсы инвестициялық саясат</w:t>
      </w:r>
    </w:p>
    <w:p w14:paraId="35163FA5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36. .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дағдарысқа қарсы басқарудың инновациялық факторы</w:t>
      </w:r>
    </w:p>
    <w:p w14:paraId="319474FC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37. Мемлекеттік дағдарысқа қарсы басқарудағы әлеуметттік әріптестік</w:t>
      </w:r>
    </w:p>
    <w:p w14:paraId="2758AB6F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38.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Дағдарысқа қарсы басқару тиімділігіне ақпараттанудың  әсері</w:t>
      </w:r>
    </w:p>
    <w:p w14:paraId="0FB58A88" w14:textId="77777777" w:rsidR="00252E00" w:rsidRPr="00252E00" w:rsidRDefault="00252E00" w:rsidP="00252E00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39.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Қазақстанда  дағдарыс жағдайын мемлекетттік реттеу тиімділігі</w:t>
      </w:r>
    </w:p>
    <w:p w14:paraId="429048A4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40. </w:t>
      </w:r>
      <w:r w:rsidRPr="0025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басқарудағы дағдарыс құбылыстарының ерекшеліктері</w:t>
      </w:r>
    </w:p>
    <w:p w14:paraId="343F8F20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41.</w:t>
      </w:r>
      <w:r w:rsidRPr="0025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Дағдарыстарды диагностикалауға  талдау әдістемесін қолдану</w:t>
      </w:r>
    </w:p>
    <w:p w14:paraId="05628669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42. Дағдарыстың </w:t>
      </w: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макро және микродеңгейдегі  цикл өзгеріс фазалары және кезеңдері</w:t>
      </w:r>
    </w:p>
    <w:p w14:paraId="2FCB1E12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43. Дағдарыстағы тәуекелдер түрі</w:t>
      </w:r>
    </w:p>
    <w:p w14:paraId="1E4D6DA9" w14:textId="77777777" w:rsidR="00252E00" w:rsidRPr="00252E00" w:rsidRDefault="00252E00" w:rsidP="00252E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2E00">
        <w:rPr>
          <w:rFonts w:ascii="Times New Roman" w:eastAsia="Times New Roman" w:hAnsi="Times New Roman" w:cs="Times New Roman"/>
          <w:sz w:val="24"/>
          <w:szCs w:val="24"/>
          <w:lang w:val="kk-KZ"/>
        </w:rPr>
        <w:t>44. Дағдарыстық құрылымдардағы персоналды басқару</w:t>
      </w:r>
    </w:p>
    <w:p w14:paraId="3D6D7459" w14:textId="77777777" w:rsidR="00252E00" w:rsidRPr="00252E00" w:rsidRDefault="00252E00" w:rsidP="00FA2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sectPr w:rsidR="00252E00" w:rsidRPr="00252E00" w:rsidSect="00FA24A2">
          <w:type w:val="continuous"/>
          <w:pgSz w:w="11906" w:h="16838"/>
          <w:pgMar w:top="1134" w:right="850" w:bottom="1134" w:left="1701" w:header="0" w:footer="0" w:gutter="0"/>
          <w:cols w:space="708"/>
        </w:sectPr>
      </w:pPr>
    </w:p>
    <w:p w14:paraId="216E9FD2" w14:textId="77777777" w:rsidR="00252E00" w:rsidRPr="00E65B00" w:rsidRDefault="00252E00" w:rsidP="00252E00">
      <w:pPr>
        <w:spacing w:after="0" w:line="240" w:lineRule="auto"/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</w:t>
      </w:r>
      <w:r w:rsidRPr="00E65B00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АҒАЛАУ САЯСАТЫ</w:t>
      </w:r>
    </w:p>
    <w:p w14:paraId="2BF5FC41" w14:textId="77777777" w:rsidR="00252E00" w:rsidRPr="00E65B00" w:rsidRDefault="00252E00" w:rsidP="00252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65B00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BAK/MAG/DOC СТАНДАРТЫ ЕМТИХАН: АУЫЗША</w:t>
      </w:r>
    </w:p>
    <w:tbl>
      <w:tblPr>
        <w:tblStyle w:val="ac"/>
        <w:tblW w:w="1490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268"/>
        <w:gridCol w:w="3827"/>
        <w:gridCol w:w="2469"/>
        <w:gridCol w:w="1520"/>
      </w:tblGrid>
      <w:tr w:rsidR="00252E00" w:rsidRPr="00E65B00" w14:paraId="2080FB9F" w14:textId="77777777" w:rsidTr="004E05BF">
        <w:trPr>
          <w:trHeight w:hRule="exact" w:val="302"/>
        </w:trPr>
        <w:tc>
          <w:tcPr>
            <w:tcW w:w="709" w:type="dxa"/>
            <w:vMerge w:val="restart"/>
          </w:tcPr>
          <w:p w14:paraId="16DB0F99" w14:textId="77777777" w:rsidR="00252E00" w:rsidRPr="00E65B00" w:rsidRDefault="00252E00" w:rsidP="004E05BF">
            <w:pPr>
              <w:widowControl w:val="0"/>
              <w:spacing w:before="10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14:paraId="6CF22D15" w14:textId="77777777" w:rsidR="00252E00" w:rsidRPr="00E65B00" w:rsidRDefault="00252E00" w:rsidP="004E05BF">
            <w:pPr>
              <w:widowControl w:val="0"/>
              <w:spacing w:before="10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1B869EE" w14:textId="77777777" w:rsidR="00252E00" w:rsidRPr="00E65B00" w:rsidRDefault="00252E00" w:rsidP="004E05BF">
            <w:pPr>
              <w:widowControl w:val="0"/>
              <w:spacing w:line="239" w:lineRule="auto"/>
              <w:ind w:left="103" w:right="1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</w:tcPr>
          <w:p w14:paraId="3AC48722" w14:textId="77777777" w:rsidR="00252E00" w:rsidRPr="00050F10" w:rsidRDefault="00252E00" w:rsidP="004E05BF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ab/>
              <w:t xml:space="preserve">        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ab/>
              <w:t xml:space="preserve">                                                                              </w:t>
            </w:r>
            <w:r w:rsidRPr="00050F1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</w:tr>
      <w:tr w:rsidR="00252E00" w:rsidRPr="00E65B00" w14:paraId="786AB5D2" w14:textId="77777777" w:rsidTr="004E05BF">
        <w:trPr>
          <w:trHeight w:hRule="exact" w:val="265"/>
        </w:trPr>
        <w:tc>
          <w:tcPr>
            <w:tcW w:w="709" w:type="dxa"/>
            <w:vMerge/>
          </w:tcPr>
          <w:p w14:paraId="0F41B531" w14:textId="77777777" w:rsidR="00252E00" w:rsidRPr="00E65B00" w:rsidRDefault="00252E00" w:rsidP="004E0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D0D5A4" w14:textId="77777777" w:rsidR="00252E00" w:rsidRPr="00E65B00" w:rsidRDefault="00252E00" w:rsidP="004E0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A0E14C" w14:textId="77777777" w:rsidR="00252E00" w:rsidRPr="00E65B00" w:rsidRDefault="00252E00" w:rsidP="004E05BF">
            <w:pPr>
              <w:widowControl w:val="0"/>
              <w:spacing w:before="19" w:line="222" w:lineRule="auto"/>
              <w:ind w:left="8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</w:tcPr>
          <w:p w14:paraId="5AF00FF4" w14:textId="77777777" w:rsidR="00252E00" w:rsidRPr="00E65B00" w:rsidRDefault="00252E00" w:rsidP="004E05BF">
            <w:pPr>
              <w:widowControl w:val="0"/>
              <w:spacing w:before="19" w:line="222" w:lineRule="auto"/>
              <w:ind w:left="8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827" w:type="dxa"/>
          </w:tcPr>
          <w:p w14:paraId="46A0DA7C" w14:textId="77777777" w:rsidR="00252E00" w:rsidRPr="00E65B00" w:rsidRDefault="00252E00" w:rsidP="004E05BF">
            <w:pPr>
              <w:widowControl w:val="0"/>
              <w:spacing w:before="19" w:line="222" w:lineRule="auto"/>
              <w:ind w:left="3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</w:tcPr>
          <w:p w14:paraId="23EA8E88" w14:textId="77777777" w:rsidR="00252E00" w:rsidRPr="00E65B00" w:rsidRDefault="00252E00" w:rsidP="004E05BF">
            <w:pPr>
              <w:widowControl w:val="0"/>
              <w:spacing w:before="19" w:line="22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252E00" w:rsidRPr="00E65B00" w14:paraId="622089A6" w14:textId="77777777" w:rsidTr="004E05BF">
        <w:trPr>
          <w:trHeight w:hRule="exact" w:val="596"/>
        </w:trPr>
        <w:tc>
          <w:tcPr>
            <w:tcW w:w="709" w:type="dxa"/>
            <w:vMerge/>
          </w:tcPr>
          <w:p w14:paraId="30CE1EE5" w14:textId="77777777" w:rsidR="00252E00" w:rsidRPr="00E65B00" w:rsidRDefault="00252E00" w:rsidP="004E0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83F65A" w14:textId="77777777" w:rsidR="00252E00" w:rsidRPr="00E65B00" w:rsidRDefault="00252E00" w:rsidP="004E05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8EDF9E" w14:textId="77777777" w:rsidR="00252E00" w:rsidRPr="00E65B00" w:rsidRDefault="00252E00" w:rsidP="004E05BF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</w:tcPr>
          <w:p w14:paraId="1F25933B" w14:textId="77777777" w:rsidR="00252E00" w:rsidRPr="00E65B00" w:rsidRDefault="00252E00" w:rsidP="004E05BF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E65B0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827" w:type="dxa"/>
          </w:tcPr>
          <w:p w14:paraId="7F8E084F" w14:textId="77777777" w:rsidR="00252E00" w:rsidRPr="00E65B00" w:rsidRDefault="00252E00" w:rsidP="004E05BF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E65B0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</w:tcPr>
          <w:p w14:paraId="06E1C2A7" w14:textId="77777777" w:rsidR="00252E00" w:rsidRPr="00E65B00" w:rsidRDefault="00252E00" w:rsidP="004E05BF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E65B0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</w:tcPr>
          <w:p w14:paraId="1DF52F33" w14:textId="77777777" w:rsidR="00252E00" w:rsidRPr="00E65B00" w:rsidRDefault="00252E00" w:rsidP="004E05BF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E65B0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252E00" w:rsidRPr="00E65B00" w14:paraId="3C53C4F1" w14:textId="77777777" w:rsidTr="004E05BF">
        <w:trPr>
          <w:trHeight w:hRule="exact" w:val="3644"/>
        </w:trPr>
        <w:tc>
          <w:tcPr>
            <w:tcW w:w="709" w:type="dxa"/>
          </w:tcPr>
          <w:p w14:paraId="154D8225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9867AF0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– </w:t>
            </w:r>
          </w:p>
          <w:p w14:paraId="17273D8E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5771276F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2B02A5AB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9A4A85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298909" w14:textId="77777777" w:rsidR="00252E00" w:rsidRPr="00E65B00" w:rsidRDefault="00252E00" w:rsidP="004E05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3D7B0B5E" w14:textId="77777777" w:rsidR="00252E00" w:rsidRPr="00E65B00" w:rsidRDefault="00252E00" w:rsidP="004E05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</w:tcPr>
          <w:p w14:paraId="346FDA9C" w14:textId="77777777" w:rsidR="00252E00" w:rsidRPr="00E65B00" w:rsidRDefault="00252E00" w:rsidP="004E05BF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E65B00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268" w:type="dxa"/>
          </w:tcPr>
          <w:p w14:paraId="422254C2" w14:textId="77777777" w:rsidR="00252E00" w:rsidRPr="00E65B00" w:rsidRDefault="00252E00" w:rsidP="004E05BF">
            <w:pPr>
              <w:widowControl w:val="0"/>
              <w:spacing w:line="239" w:lineRule="auto"/>
              <w:ind w:left="112" w:righ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E65B00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827" w:type="dxa"/>
          </w:tcPr>
          <w:p w14:paraId="3A1A7842" w14:textId="77777777" w:rsidR="00252E00" w:rsidRPr="00E65B00" w:rsidRDefault="00252E00" w:rsidP="004E05BF">
            <w:pPr>
              <w:widowControl w:val="0"/>
              <w:spacing w:before="29" w:line="250" w:lineRule="auto"/>
              <w:ind w:left="87" w:righ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</w:tcPr>
          <w:p w14:paraId="24845764" w14:textId="77777777" w:rsidR="00252E00" w:rsidRPr="00E65B00" w:rsidRDefault="00252E00" w:rsidP="004E05BF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14:paraId="041961E3" w14:textId="77777777" w:rsidR="00252E00" w:rsidRPr="00E65B00" w:rsidRDefault="00252E00" w:rsidP="004E05BF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5CCCEAAD" w14:textId="77777777" w:rsidR="00252E00" w:rsidRPr="00E65B00" w:rsidRDefault="00252E00" w:rsidP="004E05BF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252E00" w:rsidRPr="00E65B00" w14:paraId="523699CA" w14:textId="77777777" w:rsidTr="004E05BF">
        <w:trPr>
          <w:trHeight w:hRule="exact" w:val="3266"/>
        </w:trPr>
        <w:tc>
          <w:tcPr>
            <w:tcW w:w="709" w:type="dxa"/>
          </w:tcPr>
          <w:p w14:paraId="74B72013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0566088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бал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CC1FCF9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12C5CF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3B58AA" w14:textId="77777777" w:rsidR="00252E00" w:rsidRPr="00E65B00" w:rsidRDefault="00252E00" w:rsidP="004E05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1FC529A8" w14:textId="77777777" w:rsidR="00252E00" w:rsidRPr="00E65B00" w:rsidRDefault="00252E00" w:rsidP="004E05BF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</w:tcPr>
          <w:p w14:paraId="69DBD8D6" w14:textId="77777777" w:rsidR="00252E00" w:rsidRPr="00E65B00" w:rsidRDefault="00252E00" w:rsidP="004E05BF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268" w:type="dxa"/>
          </w:tcPr>
          <w:p w14:paraId="321A7C89" w14:textId="77777777" w:rsidR="00252E00" w:rsidRPr="00E65B00" w:rsidRDefault="00252E00" w:rsidP="004E05BF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</w:tcPr>
          <w:p w14:paraId="3D2851BC" w14:textId="77777777" w:rsidR="00252E00" w:rsidRPr="00E65B00" w:rsidRDefault="00252E00" w:rsidP="004E05BF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</w:tcPr>
          <w:p w14:paraId="4ED47B74" w14:textId="77777777" w:rsidR="00252E00" w:rsidRPr="00E65B00" w:rsidRDefault="00252E00" w:rsidP="004E05BF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4890E908" w14:textId="77777777" w:rsidR="00252E00" w:rsidRPr="00E65B00" w:rsidRDefault="00252E00" w:rsidP="004E05BF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</w:tcPr>
          <w:p w14:paraId="7A48B437" w14:textId="77777777" w:rsidR="00252E00" w:rsidRPr="00E65B00" w:rsidRDefault="00252E00" w:rsidP="004E05BF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13B6C54F" w14:textId="77777777" w:rsid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5BC22E4" w14:textId="77777777" w:rsid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D9371B2" w14:textId="77777777" w:rsid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C7DB6F2" w14:textId="77777777" w:rsid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DE0305E" w14:textId="77777777" w:rsid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CAC4071" w14:textId="77777777" w:rsid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7311507" w14:textId="77777777" w:rsid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1008F8C" w14:textId="77777777" w:rsid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D8FDE2D" w14:textId="77777777" w:rsidR="00252E00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252E00" w:rsidRPr="00E65B00" w14:paraId="3A6BF166" w14:textId="77777777" w:rsidTr="004E05BF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B48FA" w14:textId="77777777" w:rsidR="00252E00" w:rsidRPr="00E65B00" w:rsidRDefault="00252E00" w:rsidP="004E05BF">
            <w:pPr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0A3B767D" w14:textId="77777777" w:rsidR="00252E00" w:rsidRPr="00E65B00" w:rsidRDefault="00252E00" w:rsidP="004E05BF">
            <w:pPr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263D60D2" w14:textId="77777777" w:rsidR="00252E00" w:rsidRPr="00E65B00" w:rsidRDefault="00252E00" w:rsidP="004E05BF">
            <w:pPr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40</w:t>
            </w: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балл </w:t>
            </w:r>
          </w:p>
          <w:p w14:paraId="1BB80FBD" w14:textId="77777777" w:rsidR="00252E00" w:rsidRPr="00E65B00" w:rsidRDefault="00252E00" w:rsidP="004E05BF">
            <w:pPr>
              <w:widowControl w:val="0"/>
              <w:spacing w:before="9" w:after="0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8904" w14:textId="77777777" w:rsidR="00252E00" w:rsidRPr="00E65B00" w:rsidRDefault="00252E00" w:rsidP="004E05BF">
            <w:pPr>
              <w:widowControl w:val="0"/>
              <w:spacing w:before="9" w:after="0" w:line="239" w:lineRule="auto"/>
              <w:ind w:left="108" w:right="50"/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69D569F8" w14:textId="77777777" w:rsidR="00252E00" w:rsidRPr="00E65B00" w:rsidRDefault="00252E00" w:rsidP="004E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3B4F3153" w14:textId="77777777" w:rsidR="00252E00" w:rsidRPr="00E65B00" w:rsidRDefault="00252E00" w:rsidP="004E05BF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68241C02" w14:textId="77777777" w:rsidR="00252E00" w:rsidRPr="00E65B00" w:rsidRDefault="00252E00" w:rsidP="004E05BF">
            <w:pPr>
              <w:widowControl w:val="0"/>
              <w:spacing w:before="9" w:after="0" w:line="239" w:lineRule="auto"/>
              <w:ind w:left="108" w:right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7748" w14:textId="77777777" w:rsidR="00252E00" w:rsidRPr="00E65B00" w:rsidRDefault="00252E00" w:rsidP="004E05BF">
            <w:pPr>
              <w:widowControl w:val="0"/>
              <w:spacing w:before="9" w:after="0" w:line="239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D6FB" w14:textId="77777777" w:rsidR="00252E00" w:rsidRPr="00E65B00" w:rsidRDefault="00252E00" w:rsidP="004E05BF">
            <w:pPr>
              <w:widowControl w:val="0"/>
              <w:tabs>
                <w:tab w:val="left" w:pos="2152"/>
              </w:tabs>
              <w:spacing w:before="9" w:after="0" w:line="239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1C25" w14:textId="77777777" w:rsidR="00252E00" w:rsidRPr="00E65B00" w:rsidRDefault="00252E00" w:rsidP="004E05BF">
            <w:pPr>
              <w:widowControl w:val="0"/>
              <w:spacing w:before="9" w:after="0" w:line="239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A3CA" w14:textId="77777777" w:rsidR="00252E00" w:rsidRPr="00E65B00" w:rsidRDefault="00252E00" w:rsidP="004E05BF">
            <w:pPr>
              <w:widowControl w:val="0"/>
              <w:spacing w:before="9" w:after="0" w:line="239" w:lineRule="auto"/>
              <w:ind w:left="110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48E2" w14:textId="77777777" w:rsidR="00252E00" w:rsidRPr="00E65B00" w:rsidRDefault="00252E00" w:rsidP="004E05BF">
            <w:pPr>
              <w:widowControl w:val="0"/>
              <w:spacing w:before="9" w:after="0" w:line="239" w:lineRule="auto"/>
              <w:ind w:left="110" w:righ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E65B00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5A18B417" w14:textId="77777777" w:rsidR="00252E00" w:rsidRDefault="00252E00" w:rsidP="00252E00">
      <w:pPr>
        <w:rPr>
          <w:lang w:val="kk-KZ"/>
        </w:rPr>
      </w:pPr>
    </w:p>
    <w:p w14:paraId="00C1AEA0" w14:textId="77777777" w:rsidR="00252E00" w:rsidRPr="009454D6" w:rsidRDefault="00252E00" w:rsidP="00252E00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r w:rsidRPr="00721E1E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Емтихан жұмыстары 3 сұрақтан тұрады. Дұрыс орындалған тапсырмалар үшін максимум 100 ұпай, оның ішінде бірінші сұраққа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721E1E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ұпай, екінші сұраққа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721E1E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ұпай, үшінші сұраққа 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40</w:t>
      </w:r>
      <w:r w:rsidRPr="00721E1E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</w:t>
      </w:r>
    </w:p>
    <w:p w14:paraId="2F0F4F6D" w14:textId="77777777" w:rsidR="00252E00" w:rsidRDefault="00252E00" w:rsidP="00FA24A2">
      <w:pPr>
        <w:jc w:val="center"/>
        <w:rPr>
          <w:rFonts w:ascii="Times New Roman" w:hAnsi="Times New Roman" w:cs="Times New Roman"/>
          <w:sz w:val="40"/>
          <w:szCs w:val="40"/>
          <w:lang w:val="kk-KZ"/>
        </w:rPr>
        <w:sectPr w:rsidR="00252E00" w:rsidSect="00FA24A2">
          <w:pgSz w:w="16838" w:h="11906" w:orient="landscape"/>
          <w:pgMar w:top="850" w:right="850" w:bottom="850" w:left="850" w:header="0" w:footer="0" w:gutter="0"/>
          <w:cols w:space="708"/>
          <w:docGrid w:linePitch="286"/>
        </w:sectPr>
      </w:pPr>
    </w:p>
    <w:p w14:paraId="6BDE19DD" w14:textId="77777777" w:rsidR="00252E00" w:rsidRDefault="00252E00" w:rsidP="00252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әдебиеттер:</w:t>
      </w:r>
    </w:p>
    <w:p w14:paraId="429313A5" w14:textId="77777777" w:rsidR="00252E00" w:rsidRPr="0052415C" w:rsidRDefault="00252E00" w:rsidP="00252E00">
      <w:pPr>
        <w:spacing w:after="0"/>
        <w:rPr>
          <w:lang w:val="kk-KZ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1.</w:t>
      </w: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F656B33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Адизес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Как преодолеть кризисы менеджмента. Диагностика и решение управленческих проблем. -М.: Манн, Иванов и Фербер,  2025.- 320 с.</w:t>
      </w:r>
    </w:p>
    <w:p w14:paraId="10CE373B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Жатқанбаев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Е.Б.,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Смағұлова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Г.С.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Экономиканы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2023.-284 б.</w:t>
      </w:r>
    </w:p>
    <w:p w14:paraId="522992A5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Зуб А. Т. Кризисный менеджмент-Санкт-Петербург: Питер,  2024.-304 с</w:t>
      </w:r>
    </w:p>
    <w:p w14:paraId="1FEBB755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Коротков, Э. М.  Антикризисное управление – 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 -406 с</w:t>
      </w:r>
    </w:p>
    <w:p w14:paraId="30E5073B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Кочеткова А.И. Антикризисное управление.-М.: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2024-440 с.</w:t>
      </w:r>
    </w:p>
    <w:p w14:paraId="5D53239F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бизнес-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кейстерінің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жинағы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Үш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қиян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2025.-436 б.</w:t>
      </w:r>
    </w:p>
    <w:p w14:paraId="598A65A6" w14:textId="77777777" w:rsidR="00252E00" w:rsidRPr="0052415C" w:rsidRDefault="00252E00" w:rsidP="00252E00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8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Охотский Е.В. Государственное антикризисное управление 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2024-371 с.</w:t>
      </w:r>
    </w:p>
    <w:p w14:paraId="2D6A77CF" w14:textId="77777777" w:rsidR="00252E00" w:rsidRPr="0052415C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9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Ряховская А.Н.,  Кован С.Е., Акулова Н.Г. и др. Антикризисное управление: теория и практика-М.: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КноРус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2025.- 378 с.</w:t>
      </w:r>
    </w:p>
    <w:p w14:paraId="68830641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593E573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15D62D98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49FD844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3387D73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3. О’Лири, Зина. Зерттеу жобасын жүргізу: негізгі нұсқаулық : монография - Алматы: "Ұлттық аударма бюросы" ҚҚ, 2020 - 470 б</w:t>
      </w:r>
    </w:p>
    <w:p w14:paraId="793168F5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77948A71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1890129B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6A267A08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612467CF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https://urait.ru/bcode/511054</w:t>
      </w:r>
    </w:p>
    <w:p w14:paraId="4CAF6769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hyperlink r:id="rId8" w:history="1">
        <w:r w:rsidRPr="005241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URL:https://urait.ru/bcode/510543</w:t>
        </w:r>
      </w:hyperlink>
    </w:p>
    <w:p w14:paraId="001F009D" w14:textId="77777777" w:rsidR="00252E00" w:rsidRPr="0052415C" w:rsidRDefault="00252E00" w:rsidP="00252E0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 e/520502</w:t>
      </w:r>
    </w:p>
    <w:p w14:paraId="406735DE" w14:textId="77777777" w:rsidR="00252E00" w:rsidRPr="0052415C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</w:p>
    <w:p w14:paraId="528A4D48" w14:textId="77777777" w:rsidR="00252E00" w:rsidRPr="0052415C" w:rsidRDefault="00252E00" w:rsidP="00252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1. Аудитория 218</w:t>
      </w:r>
    </w:p>
    <w:p w14:paraId="1EC39DE6" w14:textId="77777777" w:rsidR="00252E00" w:rsidRPr="0052415C" w:rsidRDefault="00252E00" w:rsidP="00252E0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2.  Дәріс залы – 218</w:t>
      </w:r>
    </w:p>
    <w:sectPr w:rsidR="00252E00" w:rsidRPr="0052415C" w:rsidSect="00252E00">
      <w:type w:val="nextPage"/>
      <w:pgSz w:w="11906" w:h="16838"/>
      <w:pgMar w:top="850" w:right="850" w:bottom="850" w:left="850" w:header="0" w:footer="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1418" w14:textId="77777777" w:rsidR="008C1F23" w:rsidRDefault="008C1F23" w:rsidP="00252E00">
      <w:pPr>
        <w:spacing w:after="0" w:line="240" w:lineRule="auto"/>
      </w:pPr>
      <w:r>
        <w:separator/>
      </w:r>
    </w:p>
  </w:endnote>
  <w:endnote w:type="continuationSeparator" w:id="0">
    <w:p w14:paraId="64914BFB" w14:textId="77777777" w:rsidR="008C1F23" w:rsidRDefault="008C1F23" w:rsidP="0025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96AF" w14:textId="77777777" w:rsidR="008C1F23" w:rsidRDefault="008C1F23" w:rsidP="00252E00">
      <w:pPr>
        <w:spacing w:after="0" w:line="240" w:lineRule="auto"/>
      </w:pPr>
      <w:r>
        <w:separator/>
      </w:r>
    </w:p>
  </w:footnote>
  <w:footnote w:type="continuationSeparator" w:id="0">
    <w:p w14:paraId="61688046" w14:textId="77777777" w:rsidR="008C1F23" w:rsidRDefault="008C1F23" w:rsidP="0025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252686">
    <w:abstractNumId w:val="0"/>
  </w:num>
  <w:num w:numId="2" w16cid:durableId="285619594">
    <w:abstractNumId w:val="1"/>
  </w:num>
  <w:num w:numId="3" w16cid:durableId="108923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5"/>
    <w:rsid w:val="001632AF"/>
    <w:rsid w:val="00252E00"/>
    <w:rsid w:val="00310446"/>
    <w:rsid w:val="003E6D87"/>
    <w:rsid w:val="00453B94"/>
    <w:rsid w:val="00626E76"/>
    <w:rsid w:val="006D18A7"/>
    <w:rsid w:val="00774F55"/>
    <w:rsid w:val="008C1F23"/>
    <w:rsid w:val="00F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896C"/>
  <w15:chartTrackingRefBased/>
  <w15:docId w15:val="{36ADC9AD-EBAC-4160-934E-F591A38C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A2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A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E00"/>
    <w:rPr>
      <w:kern w:val="0"/>
      <w:sz w:val="21"/>
      <w:szCs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25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E00"/>
    <w:rPr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CCB05-14D1-4ABD-9BE8-5F0B83EC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1655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2025-11-01T10:16:00Z</dcterms:created>
  <dcterms:modified xsi:type="dcterms:W3CDTF">2025-11-01T11:32:00Z</dcterms:modified>
</cp:coreProperties>
</file>